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BF6215">
      <w:pPr>
        <w:jc w:val="center"/>
        <w:rPr>
          <w:rFonts w:hint="eastAsia" w:ascii="华文细黑" w:hAnsi="华文细黑" w:eastAsia="华文细黑" w:cs="宋体"/>
          <w:b/>
          <w:kern w:val="0"/>
          <w:sz w:val="28"/>
          <w:szCs w:val="20"/>
        </w:rPr>
      </w:pPr>
      <w:bookmarkStart w:id="0" w:name="_GoBack"/>
      <w:bookmarkEnd w:id="0"/>
      <w:r>
        <w:rPr>
          <w:rFonts w:hint="eastAsia" w:ascii="华文细黑" w:hAnsi="华文细黑" w:eastAsia="华文细黑" w:cs="宋体"/>
          <w:b/>
          <w:kern w:val="0"/>
          <w:sz w:val="28"/>
          <w:szCs w:val="20"/>
        </w:rPr>
        <w:t>计算机学院关于研究生奖学金重复参评的暂行条例</w:t>
      </w:r>
    </w:p>
    <w:p w14:paraId="6D8882F2">
      <w:pPr>
        <w:jc w:val="center"/>
        <w:rPr>
          <w:rFonts w:hint="eastAsia" w:ascii="华文细黑" w:hAnsi="华文细黑" w:eastAsia="华文细黑" w:cs="宋体"/>
          <w:kern w:val="0"/>
          <w:sz w:val="24"/>
          <w:szCs w:val="24"/>
        </w:rPr>
      </w:pPr>
      <w:r>
        <w:rPr>
          <w:rFonts w:hint="eastAsia" w:ascii="华文细黑" w:hAnsi="华文细黑" w:eastAsia="华文细黑" w:cs="宋体"/>
          <w:kern w:val="0"/>
          <w:sz w:val="24"/>
          <w:szCs w:val="24"/>
        </w:rPr>
        <w:t>（20</w:t>
      </w:r>
      <w:r>
        <w:rPr>
          <w:rFonts w:hint="eastAsia" w:ascii="华文细黑" w:hAnsi="华文细黑" w:eastAsia="华文细黑" w:cs="宋体"/>
          <w:kern w:val="0"/>
          <w:sz w:val="24"/>
          <w:szCs w:val="24"/>
          <w:lang w:val="en-US" w:eastAsia="zh-CN"/>
        </w:rPr>
        <w:t>22</w:t>
      </w:r>
      <w:r>
        <w:rPr>
          <w:rFonts w:hint="eastAsia" w:ascii="华文细黑" w:hAnsi="华文细黑" w:eastAsia="华文细黑" w:cs="宋体"/>
          <w:kern w:val="0"/>
          <w:sz w:val="24"/>
          <w:szCs w:val="24"/>
        </w:rPr>
        <w:t>年</w:t>
      </w:r>
      <w:r>
        <w:rPr>
          <w:rFonts w:hint="eastAsia" w:ascii="华文细黑" w:hAnsi="华文细黑" w:eastAsia="华文细黑" w:cs="宋体"/>
          <w:kern w:val="0"/>
          <w:sz w:val="24"/>
          <w:szCs w:val="24"/>
          <w:lang w:val="en-US" w:eastAsia="zh-CN"/>
        </w:rPr>
        <w:t>11</w:t>
      </w:r>
      <w:r>
        <w:rPr>
          <w:rFonts w:hint="eastAsia" w:ascii="华文细黑" w:hAnsi="华文细黑" w:eastAsia="华文细黑" w:cs="宋体"/>
          <w:kern w:val="0"/>
          <w:sz w:val="24"/>
          <w:szCs w:val="24"/>
        </w:rPr>
        <w:t>月修订）</w:t>
      </w:r>
    </w:p>
    <w:p w14:paraId="30EAB270">
      <w:pPr>
        <w:rPr>
          <w:rFonts w:ascii="华文细黑" w:hAnsi="华文细黑" w:eastAsia="华文细黑" w:cs="宋体"/>
          <w:b/>
          <w:kern w:val="0"/>
          <w:sz w:val="28"/>
          <w:szCs w:val="20"/>
        </w:rPr>
      </w:pPr>
      <w:r>
        <w:rPr>
          <w:rFonts w:ascii="华文细黑" w:hAnsi="华文细黑" w:eastAsia="华文细黑" w:cs="宋体"/>
          <w:b/>
          <w:kern w:val="0"/>
          <w:sz w:val="28"/>
          <w:szCs w:val="20"/>
        </w:rPr>
        <w:t xml:space="preserve">          </w:t>
      </w:r>
    </w:p>
    <w:p w14:paraId="4EAC81A1">
      <w:pPr>
        <w:spacing w:line="276" w:lineRule="auto"/>
        <w:ind w:firstLine="560" w:firstLineChars="200"/>
        <w:rPr>
          <w:rFonts w:hint="eastAsia" w:ascii="宋体" w:hAnsi="宋体" w:cs="宋体"/>
          <w:kern w:val="0"/>
          <w:sz w:val="28"/>
          <w:szCs w:val="20"/>
        </w:rPr>
      </w:pPr>
      <w:r>
        <w:rPr>
          <w:rFonts w:hint="eastAsia" w:ascii="宋体" w:hAnsi="宋体" w:cs="宋体"/>
          <w:kern w:val="0"/>
          <w:sz w:val="28"/>
          <w:szCs w:val="20"/>
        </w:rPr>
        <w:t>第一条 本条例用于规范本学院研究生在其硕士生或博士生的同一阶段中对各类奖学金的多次参评。</w:t>
      </w:r>
    </w:p>
    <w:p w14:paraId="60F62F9D">
      <w:pPr>
        <w:spacing w:line="276" w:lineRule="auto"/>
        <w:ind w:firstLine="560" w:firstLineChars="200"/>
        <w:rPr>
          <w:rFonts w:hint="eastAsia" w:ascii="宋体" w:hAnsi="宋体" w:cs="宋体"/>
          <w:kern w:val="0"/>
          <w:sz w:val="28"/>
          <w:szCs w:val="20"/>
        </w:rPr>
      </w:pPr>
      <w:r>
        <w:rPr>
          <w:rFonts w:hint="eastAsia" w:ascii="宋体" w:hAnsi="宋体" w:cs="宋体"/>
          <w:kern w:val="0"/>
          <w:sz w:val="28"/>
          <w:szCs w:val="20"/>
        </w:rPr>
        <w:t>第二条 奖学金参评需满足上级部门或设奖方所设定的相关限制条款。</w:t>
      </w:r>
    </w:p>
    <w:p w14:paraId="3055BC29">
      <w:pPr>
        <w:keepNext w:val="0"/>
        <w:keepLines w:val="0"/>
        <w:pageBreakBefore w:val="0"/>
        <w:widowControl/>
        <w:numPr>
          <w:ilvl w:val="-1"/>
          <w:numId w:val="0"/>
        </w:numPr>
        <w:kinsoku/>
        <w:wordWrap/>
        <w:overflowPunct/>
        <w:topLinePunct w:val="0"/>
        <w:autoSpaceDE/>
        <w:autoSpaceDN/>
        <w:bidi w:val="0"/>
        <w:adjustRightInd/>
        <w:snapToGrid/>
        <w:spacing w:line="276" w:lineRule="auto"/>
        <w:ind w:firstLine="560" w:firstLineChars="200"/>
        <w:textAlignment w:val="auto"/>
        <w:rPr>
          <w:rFonts w:hint="eastAsia"/>
          <w:sz w:val="28"/>
          <w:szCs w:val="28"/>
          <w:lang w:val="en-US" w:eastAsia="zh-CN"/>
        </w:rPr>
      </w:pPr>
      <w:r>
        <w:rPr>
          <w:rFonts w:hint="eastAsia" w:ascii="宋体" w:hAnsi="宋体" w:cs="宋体"/>
          <w:kern w:val="0"/>
          <w:sz w:val="28"/>
          <w:szCs w:val="20"/>
        </w:rPr>
        <w:t>第三条</w:t>
      </w:r>
      <w:r>
        <w:rPr>
          <w:rFonts w:hint="eastAsia" w:ascii="宋体" w:hAnsi="宋体" w:cs="宋体"/>
          <w:kern w:val="0"/>
          <w:sz w:val="28"/>
          <w:szCs w:val="20"/>
          <w:lang w:val="en-US" w:eastAsia="zh-CN"/>
        </w:rPr>
        <w:t xml:space="preserve"> </w:t>
      </w:r>
      <w:r>
        <w:rPr>
          <w:rFonts w:hint="eastAsia"/>
          <w:sz w:val="28"/>
          <w:szCs w:val="28"/>
          <w:lang w:val="en-US" w:eastAsia="zh-CN"/>
        </w:rPr>
        <w:t>本年度已获推荐研究生国家奖学金的不再参评研究生专项奖学金。</w:t>
      </w:r>
    </w:p>
    <w:p w14:paraId="7318C397">
      <w:pPr>
        <w:keepNext w:val="0"/>
        <w:keepLines w:val="0"/>
        <w:pageBreakBefore w:val="0"/>
        <w:widowControl w:val="0"/>
        <w:numPr>
          <w:ilvl w:val="-1"/>
          <w:numId w:val="0"/>
        </w:numPr>
        <w:kinsoku/>
        <w:wordWrap/>
        <w:overflowPunct/>
        <w:topLinePunct w:val="0"/>
        <w:autoSpaceDE/>
        <w:autoSpaceDN/>
        <w:bidi w:val="0"/>
        <w:adjustRightInd/>
        <w:snapToGrid/>
        <w:ind w:firstLine="560" w:firstLineChars="200"/>
        <w:textAlignment w:val="auto"/>
        <w:rPr>
          <w:rFonts w:hint="eastAsia"/>
          <w:sz w:val="28"/>
          <w:szCs w:val="28"/>
          <w:lang w:val="en-US" w:eastAsia="zh-CN"/>
          <w14:textFill>
            <w14:gradFill>
              <w14:gsLst>
                <w14:gs w14:pos="0">
                  <w14:srgbClr w14:val="E30000"/>
                </w14:gs>
                <w14:gs w14:pos="100000">
                  <w14:srgbClr w14:val="760303"/>
                </w14:gs>
              </w14:gsLst>
              <w14:lin w14:scaled="0"/>
            </w14:gradFill>
          </w14:textFill>
        </w:rPr>
      </w:pPr>
      <w:r>
        <w:rPr>
          <w:rFonts w:hint="eastAsia" w:ascii="宋体" w:hAnsi="宋体" w:cs="宋体"/>
          <w:kern w:val="0"/>
          <w:sz w:val="28"/>
          <w:szCs w:val="20"/>
          <w:lang w:val="en-US" w:eastAsia="zh-CN"/>
          <w14:textFill>
            <w14:gradFill>
              <w14:gsLst>
                <w14:gs w14:pos="0">
                  <w14:srgbClr w14:val="E30000"/>
                </w14:gs>
                <w14:gs w14:pos="100000">
                  <w14:srgbClr w14:val="760303"/>
                </w14:gs>
              </w14:gsLst>
              <w14:lin w14:scaled="0"/>
            </w14:gradFill>
          </w14:textFill>
        </w:rPr>
        <w:t xml:space="preserve">第四条  </w:t>
      </w:r>
      <w:r>
        <w:rPr>
          <w:rFonts w:hint="eastAsia"/>
          <w:sz w:val="28"/>
          <w:szCs w:val="28"/>
          <w:lang w:val="en-US" w:eastAsia="zh-CN"/>
          <w14:textFill>
            <w14:gradFill>
              <w14:gsLst>
                <w14:gs w14:pos="0">
                  <w14:srgbClr w14:val="E30000"/>
                </w14:gs>
                <w14:gs w14:pos="100000">
                  <w14:srgbClr w14:val="760303"/>
                </w14:gs>
              </w14:gsLst>
              <w14:lin w14:scaled="0"/>
            </w14:gradFill>
          </w14:textFill>
        </w:rPr>
        <w:t>曾用于获得我校金额5000元及以上研究生奖学金（学业奖学金除外）以及外单位金额10000元及以上研究生奖学金的成果，</w:t>
      </w:r>
      <w:r>
        <w:rPr>
          <w:rFonts w:hint="eastAsia" w:ascii="宋体" w:hAnsi="宋体" w:cs="宋体"/>
          <w:kern w:val="0"/>
          <w:sz w:val="28"/>
          <w:szCs w:val="20"/>
          <w14:textFill>
            <w14:gradFill>
              <w14:gsLst>
                <w14:gs w14:pos="0">
                  <w14:srgbClr w14:val="E30000"/>
                </w14:gs>
                <w14:gs w14:pos="100000">
                  <w14:srgbClr w14:val="760303"/>
                </w14:gs>
              </w14:gsLst>
              <w14:lin w14:scaled="0"/>
            </w14:gradFill>
          </w14:textFill>
        </w:rPr>
        <w:t>不可再用于后续奖学金项目的申报</w:t>
      </w:r>
      <w:r>
        <w:rPr>
          <w:rFonts w:hint="eastAsia" w:ascii="宋体" w:hAnsi="宋体" w:cs="宋体"/>
          <w:kern w:val="0"/>
          <w:sz w:val="28"/>
          <w:szCs w:val="20"/>
          <w:lang w:eastAsia="zh-CN"/>
          <w14:textFill>
            <w14:gradFill>
              <w14:gsLst>
                <w14:gs w14:pos="0">
                  <w14:srgbClr w14:val="E30000"/>
                </w14:gs>
                <w14:gs w14:pos="100000">
                  <w14:srgbClr w14:val="760303"/>
                </w14:gs>
              </w14:gsLst>
              <w14:lin w14:scaled="0"/>
            </w14:gradFill>
          </w14:textFill>
        </w:rPr>
        <w:t>。</w:t>
      </w:r>
    </w:p>
    <w:p w14:paraId="40221D05">
      <w:pPr>
        <w:spacing w:line="276" w:lineRule="auto"/>
        <w:ind w:firstLine="560" w:firstLineChars="200"/>
        <w:rPr>
          <w:rFonts w:hint="eastAsia" w:ascii="宋体" w:hAnsi="宋体" w:eastAsia="宋体" w:cs="宋体"/>
          <w:kern w:val="0"/>
          <w:sz w:val="28"/>
          <w:szCs w:val="20"/>
          <w:lang w:eastAsia="zh-CN"/>
        </w:rPr>
      </w:pPr>
      <w:r>
        <w:rPr>
          <w:rFonts w:hint="eastAsia" w:ascii="宋体" w:hAnsi="宋体" w:cs="宋体"/>
          <w:kern w:val="0"/>
          <w:sz w:val="28"/>
          <w:szCs w:val="20"/>
        </w:rPr>
        <w:t>第</w:t>
      </w:r>
      <w:r>
        <w:rPr>
          <w:rFonts w:hint="eastAsia" w:ascii="宋体" w:hAnsi="宋体" w:cs="宋体"/>
          <w:kern w:val="0"/>
          <w:sz w:val="28"/>
          <w:szCs w:val="20"/>
          <w:lang w:val="en-US" w:eastAsia="zh-CN"/>
        </w:rPr>
        <w:t>五</w:t>
      </w:r>
      <w:r>
        <w:rPr>
          <w:rFonts w:hint="eastAsia" w:ascii="宋体" w:hAnsi="宋体" w:cs="宋体"/>
          <w:kern w:val="0"/>
          <w:sz w:val="28"/>
          <w:szCs w:val="20"/>
        </w:rPr>
        <w:t>条 中国科学院院长奖与其他奖项间无冲突</w:t>
      </w:r>
      <w:r>
        <w:rPr>
          <w:rFonts w:hint="eastAsia" w:ascii="宋体" w:hAnsi="宋体" w:cs="宋体"/>
          <w:kern w:val="0"/>
          <w:sz w:val="28"/>
          <w:szCs w:val="20"/>
          <w:lang w:eastAsia="zh-CN"/>
        </w:rPr>
        <w:t>。</w:t>
      </w:r>
      <w:r>
        <w:rPr>
          <w:rFonts w:hint="eastAsia" w:ascii="宋体" w:hAnsi="宋体" w:cs="宋体"/>
          <w:kern w:val="0"/>
          <w:sz w:val="28"/>
          <w:szCs w:val="20"/>
        </w:rPr>
        <w:t xml:space="preserve">    </w:t>
      </w:r>
    </w:p>
    <w:p w14:paraId="68AC741D">
      <w:pPr>
        <w:spacing w:line="276" w:lineRule="auto"/>
        <w:ind w:firstLine="560" w:firstLineChars="200"/>
        <w:rPr>
          <w:rFonts w:ascii="宋体" w:hAnsi="宋体" w:cs="宋体"/>
          <w:kern w:val="0"/>
          <w:sz w:val="28"/>
          <w:szCs w:val="20"/>
        </w:rPr>
      </w:pPr>
      <w:r>
        <w:rPr>
          <w:rFonts w:hint="eastAsia" w:ascii="宋体" w:hAnsi="宋体" w:cs="宋体"/>
          <w:kern w:val="0"/>
          <w:sz w:val="28"/>
          <w:szCs w:val="20"/>
        </w:rPr>
        <w:t>第</w:t>
      </w:r>
      <w:r>
        <w:rPr>
          <w:rFonts w:hint="eastAsia" w:ascii="宋体" w:hAnsi="宋体" w:cs="宋体"/>
          <w:kern w:val="0"/>
          <w:sz w:val="28"/>
          <w:szCs w:val="20"/>
          <w:lang w:val="en-US" w:eastAsia="zh-CN"/>
        </w:rPr>
        <w:t>六</w:t>
      </w:r>
      <w:r>
        <w:rPr>
          <w:rFonts w:hint="eastAsia" w:ascii="宋体" w:hAnsi="宋体" w:cs="宋体"/>
          <w:kern w:val="0"/>
          <w:sz w:val="28"/>
          <w:szCs w:val="20"/>
        </w:rPr>
        <w:t>条 本条例中若有与上级后续相关文件相悖之处，一律以上级最新规定为准，并按需对条例进行修订。</w:t>
      </w:r>
    </w:p>
    <w:p w14:paraId="356F50E0">
      <w:pPr>
        <w:spacing w:line="276" w:lineRule="auto"/>
        <w:ind w:firstLine="560" w:firstLineChars="200"/>
        <w:rPr>
          <w:rFonts w:hint="eastAsia" w:ascii="宋体" w:hAnsi="宋体" w:cs="宋体"/>
          <w:kern w:val="0"/>
          <w:sz w:val="28"/>
          <w:szCs w:val="20"/>
        </w:rPr>
      </w:pPr>
      <w:r>
        <w:rPr>
          <w:rFonts w:hint="eastAsia" w:ascii="宋体" w:hAnsi="宋体" w:cs="宋体"/>
          <w:kern w:val="0"/>
          <w:sz w:val="28"/>
          <w:szCs w:val="20"/>
        </w:rPr>
        <w:t>第</w:t>
      </w:r>
      <w:r>
        <w:rPr>
          <w:rFonts w:hint="eastAsia" w:ascii="宋体" w:hAnsi="宋体" w:cs="宋体"/>
          <w:kern w:val="0"/>
          <w:sz w:val="28"/>
          <w:szCs w:val="20"/>
          <w:lang w:val="en-US" w:eastAsia="zh-CN"/>
        </w:rPr>
        <w:t>七</w:t>
      </w:r>
      <w:r>
        <w:rPr>
          <w:rFonts w:hint="eastAsia" w:ascii="宋体" w:hAnsi="宋体" w:cs="宋体"/>
          <w:kern w:val="0"/>
          <w:sz w:val="28"/>
          <w:szCs w:val="20"/>
        </w:rPr>
        <w:t>条 如发现有违背此条例者，将取消当年所有评奖评优资格。情节严重者，将参照相关制度进行处分。</w:t>
      </w:r>
    </w:p>
    <w:p w14:paraId="313FDB39">
      <w:pPr>
        <w:spacing w:line="276" w:lineRule="auto"/>
        <w:ind w:firstLine="560" w:firstLineChars="200"/>
        <w:rPr>
          <w:rFonts w:hint="eastAsia" w:ascii="宋体" w:hAnsi="宋体" w:cs="宋体"/>
          <w:kern w:val="0"/>
          <w:sz w:val="28"/>
          <w:szCs w:val="20"/>
        </w:rPr>
      </w:pPr>
      <w:r>
        <w:rPr>
          <w:rFonts w:hint="eastAsia" w:ascii="宋体" w:hAnsi="宋体" w:cs="宋体"/>
          <w:kern w:val="0"/>
          <w:sz w:val="28"/>
          <w:szCs w:val="20"/>
        </w:rPr>
        <w:t>第</w:t>
      </w:r>
      <w:r>
        <w:rPr>
          <w:rFonts w:hint="eastAsia" w:ascii="宋体" w:hAnsi="宋体" w:cs="宋体"/>
          <w:kern w:val="0"/>
          <w:sz w:val="28"/>
          <w:szCs w:val="20"/>
          <w:lang w:val="en-US" w:eastAsia="zh-CN"/>
        </w:rPr>
        <w:t>八</w:t>
      </w:r>
      <w:r>
        <w:rPr>
          <w:rFonts w:hint="eastAsia" w:ascii="宋体" w:hAnsi="宋体" w:cs="宋体"/>
          <w:kern w:val="0"/>
          <w:sz w:val="28"/>
          <w:szCs w:val="20"/>
        </w:rPr>
        <w:t>条 本条例由计算机科学与技术学院</w:t>
      </w:r>
      <w:r>
        <w:rPr>
          <w:rFonts w:hint="eastAsia" w:ascii="宋体" w:hAnsi="宋体" w:cs="宋体"/>
          <w:kern w:val="0"/>
          <w:sz w:val="28"/>
          <w:szCs w:val="20"/>
          <w:lang w:val="en-US" w:eastAsia="zh-CN"/>
        </w:rPr>
        <w:t>奖学金评审</w:t>
      </w:r>
      <w:r>
        <w:rPr>
          <w:rFonts w:hint="eastAsia" w:ascii="宋体" w:hAnsi="宋体" w:cs="宋体"/>
          <w:kern w:val="0"/>
          <w:sz w:val="28"/>
          <w:szCs w:val="20"/>
        </w:rPr>
        <w:t>小组负责解释。</w:t>
      </w:r>
    </w:p>
    <w:p w14:paraId="6D3D218A">
      <w:pPr>
        <w:spacing w:line="276" w:lineRule="auto"/>
        <w:ind w:firstLine="560" w:firstLineChars="200"/>
        <w:rPr>
          <w:rFonts w:hint="eastAsia" w:ascii="宋体" w:hAnsi="宋体" w:cs="宋体"/>
          <w:kern w:val="0"/>
          <w:sz w:val="28"/>
          <w:szCs w:val="20"/>
        </w:rPr>
      </w:pPr>
    </w:p>
    <w:p w14:paraId="4AA6C760">
      <w:pPr>
        <w:spacing w:line="276" w:lineRule="auto"/>
        <w:ind w:firstLine="560" w:firstLineChars="200"/>
        <w:rPr>
          <w:rFonts w:hint="eastAsia" w:ascii="宋体" w:hAnsi="宋体" w:cs="宋体"/>
          <w:kern w:val="0"/>
          <w:sz w:val="28"/>
          <w:szCs w:val="20"/>
        </w:rPr>
      </w:pPr>
    </w:p>
    <w:p w14:paraId="1A83024A">
      <w:pPr>
        <w:spacing w:line="276" w:lineRule="auto"/>
        <w:ind w:firstLine="560" w:firstLineChars="200"/>
        <w:jc w:val="right"/>
        <w:rPr>
          <w:rFonts w:hint="eastAsia" w:ascii="宋体" w:hAnsi="宋体" w:cs="宋体"/>
          <w:kern w:val="0"/>
          <w:sz w:val="28"/>
          <w:szCs w:val="20"/>
          <w:lang w:val="en-US" w:eastAsia="zh-CN"/>
        </w:rPr>
      </w:pPr>
      <w:r>
        <w:rPr>
          <w:rFonts w:hint="eastAsia" w:ascii="宋体" w:hAnsi="宋体" w:cs="宋体"/>
          <w:kern w:val="0"/>
          <w:sz w:val="28"/>
          <w:szCs w:val="20"/>
          <w:lang w:val="en-US" w:eastAsia="zh-CN"/>
        </w:rPr>
        <w:t>计算机科学与技术学院</w:t>
      </w:r>
    </w:p>
    <w:p w14:paraId="0268A2AC">
      <w:pPr>
        <w:spacing w:line="276" w:lineRule="auto"/>
        <w:ind w:firstLine="560" w:firstLineChars="200"/>
        <w:jc w:val="center"/>
        <w:rPr>
          <w:rFonts w:hint="default" w:ascii="宋体" w:hAnsi="宋体" w:cs="宋体"/>
          <w:kern w:val="0"/>
          <w:sz w:val="28"/>
          <w:szCs w:val="20"/>
          <w:lang w:val="en-US" w:eastAsia="zh-CN"/>
        </w:rPr>
      </w:pPr>
      <w:r>
        <w:rPr>
          <w:rFonts w:hint="eastAsia" w:ascii="宋体" w:hAnsi="宋体" w:cs="宋体"/>
          <w:kern w:val="0"/>
          <w:sz w:val="28"/>
          <w:szCs w:val="20"/>
          <w:lang w:val="en-US" w:eastAsia="zh-CN"/>
        </w:rPr>
        <w:t xml:space="preserve">                                          2022年11月28日</w:t>
      </w:r>
    </w:p>
    <w:sectPr>
      <w:pgSz w:w="11906" w:h="16838"/>
      <w:pgMar w:top="1440" w:right="110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细黑">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yNTI4ODE3NzdkOGU3ODYyZjQ1MmZkZGU4NTk2MjMifQ=="/>
  </w:docVars>
  <w:rsids>
    <w:rsidRoot w:val="00B7281B"/>
    <w:rsid w:val="00015868"/>
    <w:rsid w:val="00015DFE"/>
    <w:rsid w:val="00016702"/>
    <w:rsid w:val="00025308"/>
    <w:rsid w:val="000740F3"/>
    <w:rsid w:val="00086E8C"/>
    <w:rsid w:val="00094E0D"/>
    <w:rsid w:val="00095252"/>
    <w:rsid w:val="000C774B"/>
    <w:rsid w:val="000D0BCF"/>
    <w:rsid w:val="000E7032"/>
    <w:rsid w:val="000F62A1"/>
    <w:rsid w:val="00112F7D"/>
    <w:rsid w:val="00116912"/>
    <w:rsid w:val="00122A47"/>
    <w:rsid w:val="001558D2"/>
    <w:rsid w:val="00175FE0"/>
    <w:rsid w:val="00176F86"/>
    <w:rsid w:val="00180FDE"/>
    <w:rsid w:val="00184FF5"/>
    <w:rsid w:val="00194175"/>
    <w:rsid w:val="001A221F"/>
    <w:rsid w:val="001E15E8"/>
    <w:rsid w:val="001E7D2D"/>
    <w:rsid w:val="001F4E3A"/>
    <w:rsid w:val="00210A0D"/>
    <w:rsid w:val="0021263B"/>
    <w:rsid w:val="00232F5C"/>
    <w:rsid w:val="002414A3"/>
    <w:rsid w:val="00265F73"/>
    <w:rsid w:val="00271706"/>
    <w:rsid w:val="002B2EBB"/>
    <w:rsid w:val="002D0FEA"/>
    <w:rsid w:val="002E223D"/>
    <w:rsid w:val="00304370"/>
    <w:rsid w:val="003204BF"/>
    <w:rsid w:val="003277F9"/>
    <w:rsid w:val="00350C0C"/>
    <w:rsid w:val="00357314"/>
    <w:rsid w:val="00373D9C"/>
    <w:rsid w:val="003A2A7D"/>
    <w:rsid w:val="003D5E6F"/>
    <w:rsid w:val="003E0E01"/>
    <w:rsid w:val="003E2055"/>
    <w:rsid w:val="003E7D8B"/>
    <w:rsid w:val="003F402A"/>
    <w:rsid w:val="00400C76"/>
    <w:rsid w:val="004039C6"/>
    <w:rsid w:val="00405036"/>
    <w:rsid w:val="00423FB4"/>
    <w:rsid w:val="004364C2"/>
    <w:rsid w:val="004833A9"/>
    <w:rsid w:val="00483F8A"/>
    <w:rsid w:val="004843E5"/>
    <w:rsid w:val="00491A0A"/>
    <w:rsid w:val="004A3CEB"/>
    <w:rsid w:val="004B1F88"/>
    <w:rsid w:val="004C54B8"/>
    <w:rsid w:val="004E7E19"/>
    <w:rsid w:val="005166BD"/>
    <w:rsid w:val="0052685E"/>
    <w:rsid w:val="00537FA2"/>
    <w:rsid w:val="00574888"/>
    <w:rsid w:val="00584CD2"/>
    <w:rsid w:val="005915C9"/>
    <w:rsid w:val="005D0A8C"/>
    <w:rsid w:val="005E0AB6"/>
    <w:rsid w:val="005E0CF0"/>
    <w:rsid w:val="005E3F7A"/>
    <w:rsid w:val="00601DF1"/>
    <w:rsid w:val="00614A97"/>
    <w:rsid w:val="00620EBB"/>
    <w:rsid w:val="006235DA"/>
    <w:rsid w:val="006620B2"/>
    <w:rsid w:val="00674D0E"/>
    <w:rsid w:val="0069290F"/>
    <w:rsid w:val="006B1BDB"/>
    <w:rsid w:val="006B7F75"/>
    <w:rsid w:val="006C0799"/>
    <w:rsid w:val="006E07BB"/>
    <w:rsid w:val="00750D61"/>
    <w:rsid w:val="007B5A02"/>
    <w:rsid w:val="007C2EA5"/>
    <w:rsid w:val="007D7727"/>
    <w:rsid w:val="008066EB"/>
    <w:rsid w:val="00823B19"/>
    <w:rsid w:val="00845848"/>
    <w:rsid w:val="00862BBC"/>
    <w:rsid w:val="008654DA"/>
    <w:rsid w:val="008B3B1B"/>
    <w:rsid w:val="008F03C4"/>
    <w:rsid w:val="00900AFB"/>
    <w:rsid w:val="00907ABE"/>
    <w:rsid w:val="0091303E"/>
    <w:rsid w:val="00913335"/>
    <w:rsid w:val="00917DFC"/>
    <w:rsid w:val="009406A6"/>
    <w:rsid w:val="00940CC9"/>
    <w:rsid w:val="00952971"/>
    <w:rsid w:val="00976BDE"/>
    <w:rsid w:val="009828FA"/>
    <w:rsid w:val="009973F3"/>
    <w:rsid w:val="009A732E"/>
    <w:rsid w:val="009B16B1"/>
    <w:rsid w:val="009B22FB"/>
    <w:rsid w:val="009C58B4"/>
    <w:rsid w:val="009D4CE4"/>
    <w:rsid w:val="00A52D99"/>
    <w:rsid w:val="00A65738"/>
    <w:rsid w:val="00AA438C"/>
    <w:rsid w:val="00AC0C2A"/>
    <w:rsid w:val="00AD7C4A"/>
    <w:rsid w:val="00AF112D"/>
    <w:rsid w:val="00AF2C81"/>
    <w:rsid w:val="00B211FA"/>
    <w:rsid w:val="00B30ABE"/>
    <w:rsid w:val="00B40C41"/>
    <w:rsid w:val="00B437CB"/>
    <w:rsid w:val="00B5482F"/>
    <w:rsid w:val="00B55606"/>
    <w:rsid w:val="00B62BA1"/>
    <w:rsid w:val="00B661A8"/>
    <w:rsid w:val="00B7281B"/>
    <w:rsid w:val="00B732C2"/>
    <w:rsid w:val="00B84D7C"/>
    <w:rsid w:val="00B852C2"/>
    <w:rsid w:val="00BB2AF4"/>
    <w:rsid w:val="00C237A0"/>
    <w:rsid w:val="00C23812"/>
    <w:rsid w:val="00C321E2"/>
    <w:rsid w:val="00C41EBE"/>
    <w:rsid w:val="00CA39E7"/>
    <w:rsid w:val="00CA3DCB"/>
    <w:rsid w:val="00CC2D46"/>
    <w:rsid w:val="00CE2C76"/>
    <w:rsid w:val="00CF67A8"/>
    <w:rsid w:val="00D0290B"/>
    <w:rsid w:val="00D1409F"/>
    <w:rsid w:val="00D4394C"/>
    <w:rsid w:val="00D53666"/>
    <w:rsid w:val="00D55DD9"/>
    <w:rsid w:val="00D57796"/>
    <w:rsid w:val="00D6515F"/>
    <w:rsid w:val="00D72953"/>
    <w:rsid w:val="00DC4150"/>
    <w:rsid w:val="00DF7939"/>
    <w:rsid w:val="00E015AD"/>
    <w:rsid w:val="00E01F0D"/>
    <w:rsid w:val="00E322CB"/>
    <w:rsid w:val="00E70D4A"/>
    <w:rsid w:val="00E80A03"/>
    <w:rsid w:val="00E900CF"/>
    <w:rsid w:val="00EA4B1B"/>
    <w:rsid w:val="00EF4148"/>
    <w:rsid w:val="00F421AB"/>
    <w:rsid w:val="00F4286E"/>
    <w:rsid w:val="00FA00AE"/>
    <w:rsid w:val="00FB3B76"/>
    <w:rsid w:val="00FD2646"/>
    <w:rsid w:val="00FE689E"/>
    <w:rsid w:val="04965BC3"/>
    <w:rsid w:val="0ADF0A36"/>
    <w:rsid w:val="158B18AD"/>
    <w:rsid w:val="2EF22236"/>
    <w:rsid w:val="3A6C5593"/>
    <w:rsid w:val="3F5E56C6"/>
    <w:rsid w:val="411918A4"/>
    <w:rsid w:val="693B2598"/>
    <w:rsid w:val="69BA15C7"/>
    <w:rsid w:val="6BF65984"/>
    <w:rsid w:val="726F6CC7"/>
    <w:rsid w:val="785810F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link w:val="4"/>
    <w:qFormat/>
    <w:uiPriority w:val="99"/>
    <w:rPr>
      <w:sz w:val="18"/>
      <w:szCs w:val="18"/>
    </w:rPr>
  </w:style>
  <w:style w:type="character" w:customStyle="1" w:styleId="8">
    <w:name w:val="页脚 字符"/>
    <w:link w:val="3"/>
    <w:qFormat/>
    <w:uiPriority w:val="99"/>
    <w:rPr>
      <w:sz w:val="18"/>
      <w:szCs w:val="18"/>
    </w:rPr>
  </w:style>
  <w:style w:type="paragraph" w:customStyle="1" w:styleId="9">
    <w:name w:val="列出段落"/>
    <w:basedOn w:val="1"/>
    <w:qFormat/>
    <w:uiPriority w:val="34"/>
    <w:pPr>
      <w:ind w:firstLine="420" w:firstLineChars="200"/>
    </w:pPr>
  </w:style>
  <w:style w:type="character" w:customStyle="1" w:styleId="10">
    <w:name w:val="批注框文本 字符"/>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 Group Limited</Company>
  <Pages>1</Pages>
  <Words>363</Words>
  <Characters>379</Characters>
  <Lines>101</Lines>
  <Paragraphs>52</Paragraphs>
  <TotalTime>5</TotalTime>
  <ScaleCrop>false</ScaleCrop>
  <LinksUpToDate>false</LinksUpToDate>
  <CharactersWithSpaces>444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2022-11-25T06:25:00Z</dcterms:created>
  <dc:creator>Thinkpad User</dc:creator>
  <cp:lastModifiedBy>tmy</cp:lastModifiedBy>
  <dcterms:modified xsi:type="dcterms:W3CDTF">2025-09-30T05:37:07Z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4CDC30818B454589AC6950F2A68456F7_13</vt:lpwstr>
  </property>
</Properties>
</file>